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60" w:after="120"/>
      </w:pPr>
      <w:r>
        <w:rPr>
          <w:rFonts w:ascii="Calibri" w:hAnsi="Calibri" w:eastAsia="Calibri"/>
          <w:b/>
          <w:color w:val="22B7C8"/>
          <w:sz w:val="19"/>
        </w:rPr>
        <w:t>STAKEHOLDER CASE STUDY</w:t>
      </w:r>
    </w:p>
    <w:p>
      <w:pPr>
        <w:spacing w:before="0" w:after="160"/>
      </w:pPr>
      <w:r>
        <w:rPr>
          <w:rFonts w:ascii="Calibri" w:hAnsi="Calibri" w:eastAsia="Calibri"/>
          <w:b/>
          <w:color w:val="0B2545"/>
          <w:sz w:val="56"/>
        </w:rPr>
        <w:t>Reading a Positive Experiment Signal Without Overstating It</w:t>
      </w:r>
    </w:p>
    <w:p>
      <w:pPr>
        <w:spacing w:after="440"/>
      </w:pPr>
      <w:r>
        <w:rPr>
          <w:rFonts w:ascii="Calibri" w:hAnsi="Calibri" w:eastAsia="Calibri"/>
          <w:color w:val="64748B"/>
          <w:sz w:val="26"/>
        </w:rPr>
        <w:t>A holdout analysis where the assignment audit changes how confidently the uplift can be used.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80" w:type="dxa"/>
              <w:start w:w="120" w:type="dxa"/>
              <w:bottom w:w="180" w:type="dxa"/>
              <w:end w:w="120" w:type="dxa"/>
            </w:tcMar>
            <w:shd w:fill="F7FBFF"/>
          </w:tcPr>
          <w:p>
            <w:pPr>
              <w:spacing w:after="100"/>
            </w:pPr>
            <w:r>
              <w:rPr>
                <w:rFonts w:ascii="Calibri" w:hAnsi="Calibri" w:eastAsia="Calibri"/>
                <w:b/>
                <w:color w:val="1268D5"/>
                <w:sz w:val="17"/>
              </w:rPr>
              <w:t>DECISION IN ONE LINE</w:t>
            </w:r>
          </w:p>
          <w:p>
            <w:pPr>
              <w:spacing w:after="0" w:line="300" w:lineRule="auto"/>
            </w:pPr>
            <w:r>
              <w:rPr>
                <w:rFonts w:ascii="Calibri" w:hAnsi="Calibri" w:eastAsia="Calibri"/>
                <w:b/>
                <w:color w:val="0B2545"/>
                <w:sz w:val="25"/>
              </w:rPr>
              <w:t>Treat the result as positive evidence, then confirm the randomization unit before rollout sizing.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EF7FF"/>
          </w:tcPr>
          <w:p>
            <w:pPr>
              <w:spacing w:after="40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34"/>
              </w:rPr>
              <w:t>852,197</w:t>
            </w:r>
          </w:p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64748B"/>
                <w:sz w:val="17"/>
              </w:rPr>
              <w:t>cleaned event rows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6F8"/>
          </w:tcPr>
          <w:p>
            <w:pPr>
              <w:spacing w:after="40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34"/>
              </w:rPr>
              <w:t>+13.9%</w:t>
            </w:r>
          </w:p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64748B"/>
                <w:sz w:val="17"/>
              </w:rPr>
              <w:t>brief-defined uplift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EF7FF"/>
          </w:tcPr>
          <w:p>
            <w:pPr>
              <w:spacing w:after="40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34"/>
              </w:rPr>
              <w:t>+5.5%</w:t>
            </w:r>
          </w:p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64748B"/>
                <w:sz w:val="17"/>
              </w:rPr>
              <w:t>user-cohort sensitivity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6F8"/>
          </w:tcPr>
          <w:p>
            <w:pPr>
              <w:spacing w:after="40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34"/>
              </w:rPr>
              <w:t>1,569</w:t>
            </w:r>
          </w:p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64748B"/>
                <w:sz w:val="17"/>
              </w:rPr>
              <w:t>estimated extra conversions</w:t>
            </w:r>
          </w:p>
        </w:tc>
      </w:tr>
    </w:tbl>
    <w:p>
      <w:pPr>
        <w:spacing w:before="440" w:after="0"/>
        <w:jc w:val="center"/>
      </w:pPr>
      <w:r>
        <w:rPr>
          <w:rFonts w:ascii="Calibri" w:hAnsi="Calibri" w:eastAsia="Calibri"/>
          <w:i/>
          <w:color w:val="64748B"/>
          <w:sz w:val="18"/>
        </w:rPr>
        <w:t>Prepared by Phan Hoai Thu  |  Data Analyst / BI Analyst</w:t>
      </w:r>
    </w:p>
    <w:p>
      <w:r>
        <w:br w:type="page"/>
      </w:r>
    </w:p>
    <w:p>
      <w:pPr>
        <w:pStyle w:val="Heading1"/>
      </w:pPr>
      <w:r>
        <w:t>Executive answer</w:t>
      </w:r>
    </w:p>
    <w:p>
      <w:r>
        <w:rPr>
          <w:rFonts w:ascii="Calibri" w:hAnsi="Calibri" w:eastAsia="Calibri"/>
          <w:color w:val="16324A"/>
        </w:rPr>
        <w:t>Under the metric defined in the brief, treatment converted at 2.23% versus 1.95% for control, a +13.9% relative uplift with p = 3.42e-09. The effect is positive in all five cohorts. However, 26,426 users appear in both groups across months; the user-cohort sensitivity view estimates a smaller but still positive +5.5% uplift with p = 0.016. Confirm assignment logic before forecasting rollout impact.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80" w:type="dxa"/>
              <w:start w:w="120" w:type="dxa"/>
              <w:bottom w:w="180" w:type="dxa"/>
              <w:end w:w="120" w:type="dxa"/>
            </w:tcMar>
            <w:shd w:fill="EEF7FF"/>
          </w:tcPr>
          <w:p>
            <w:pPr>
              <w:spacing w:after="100"/>
            </w:pPr>
            <w:r>
              <w:rPr>
                <w:rFonts w:ascii="Calibri" w:hAnsi="Calibri" w:eastAsia="Calibri"/>
                <w:b/>
                <w:color w:val="22B7C8"/>
                <w:sz w:val="17"/>
              </w:rPr>
              <w:t>BUSINESS QUESTION</w:t>
            </w:r>
          </w:p>
          <w:p>
            <w:pPr>
              <w:spacing w:after="0" w:line="300" w:lineRule="auto"/>
            </w:pPr>
            <w:r>
              <w:rPr>
                <w:rFonts w:ascii="Calibri" w:hAnsi="Calibri" w:eastAsia="Calibri"/>
                <w:b/>
                <w:color w:val="0B2545"/>
                <w:sz w:val="25"/>
              </w:rPr>
              <w:t>The business needed to know whether showing Rokt advertisements increased conversion compared with a suppressed-ad holdout. A conventional uplift calculation was not enough: duplicate records, missing categories, repeated users, and unclear assignment grain could all change the interpretation.</w:t>
            </w:r>
          </w:p>
        </w:tc>
      </w:tr>
    </w:tbl>
    <w:p>
      <w:pPr>
        <w:pStyle w:val="Heading1"/>
      </w:pPr>
      <w:r>
        <w:t>What the evidence says</w:t>
      </w:r>
    </w:p>
    <w:p>
      <w:pPr>
        <w:pStyle w:val="Heading2"/>
      </w:pPr>
      <w:r>
        <w:t>1. The primary KPI gives a clear positive signal</w:t>
      </w:r>
    </w:p>
    <w:p>
      <w:r>
        <w:rPr>
          <w:rFonts w:ascii="Calibri" w:hAnsi="Calibri" w:eastAsia="Calibri"/>
          <w:color w:val="16324A"/>
        </w:rPr>
        <w:t>Treatment exceeds control by 0.272 percentage points. A simple control-rate counterfactual implies about 1,569 additional conversions across the treatment population.</w:t>
      </w:r>
    </w:p>
    <w:p>
      <w:pPr>
        <w:spacing w:before="80" w:after="80"/>
      </w:pPr>
      <w:r>
        <w:rPr>
          <w:rFonts w:ascii="Calibri" w:hAnsi="Calibri" w:eastAsia="Calibri"/>
          <w:i/>
          <w:color w:val="64748B"/>
          <w:sz w:val="17"/>
        </w:rPr>
        <w:t>Evidence trail: data/aggregated/headline_metrics.json and group_kpis.csv</w:t>
      </w:r>
    </w:p>
    <w:p>
      <w:pPr>
        <w:keepNext/>
        <w:spacing w:before="200" w:after="0"/>
        <w:jc w:val="center"/>
      </w:pPr>
      <w:r>
        <w:drawing>
          <wp:inline xmlns:a="http://schemas.openxmlformats.org/drawingml/2006/main" xmlns:pic="http://schemas.openxmlformats.org/drawingml/2006/picture">
            <wp:extent cx="5715000" cy="2987735"/>
            <wp:docPr id="1" name="Picture 1" descr="The decision view keeps the headline uplift and the unit-of-analysis caveat together." title="The decision view keeps the headline uplift and the unit-of-analysis caveat togeth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kt-dashboar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98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Calibri" w:hAnsi="Calibri" w:eastAsia="Calibri"/>
          <w:i/>
          <w:color w:val="64748B"/>
          <w:sz w:val="18"/>
        </w:rPr>
        <w:t>The decision view keeps the headline uplift and the unit-of-analysis caveat together.</w:t>
      </w:r>
    </w:p>
    <w:p>
      <w:pPr>
        <w:spacing w:before="80" w:after="80"/>
        <w:jc w:val="center"/>
      </w:pPr>
      <w:r>
        <w:rPr>
          <w:rFonts w:ascii="Calibri" w:hAnsi="Calibri" w:eastAsia="Calibri"/>
          <w:color w:val="64748B"/>
          <w:sz w:val="16"/>
        </w:rPr>
        <w:t>Source evidence: data/aggregated/headline_metrics.json and group_kpis.csv</w:t>
      </w:r>
    </w:p>
    <w:p>
      <w:pPr>
        <w:pStyle w:val="Heading2"/>
      </w:pPr>
      <w:r>
        <w:t>2. The direction is consistent, while baseline performance falls</w:t>
      </w:r>
    </w:p>
    <w:p>
      <w:r>
        <w:rPr>
          <w:rFonts w:ascii="Calibri" w:hAnsi="Calibri" w:eastAsia="Calibri"/>
          <w:color w:val="16324A"/>
        </w:rPr>
        <w:t>Treatment conversion is higher in every monthly cohort, with descriptive uplift from 11.6% to 27.6%. Both treatment and control rates decline from February to June, so time effects deserve a separate investigation.</w:t>
      </w:r>
    </w:p>
    <w:p>
      <w:pPr>
        <w:spacing w:before="80" w:after="80"/>
      </w:pPr>
      <w:r>
        <w:rPr>
          <w:rFonts w:ascii="Calibri" w:hAnsi="Calibri" w:eastAsia="Calibri"/>
          <w:i/>
          <w:color w:val="64748B"/>
          <w:sz w:val="17"/>
        </w:rPr>
        <w:t>Evidence trail: data/aggregated/cohort_summary.csv</w:t>
      </w:r>
    </w:p>
    <w:p>
      <w:pPr>
        <w:keepNext/>
        <w:spacing w:before="200" w:after="0"/>
        <w:jc w:val="center"/>
      </w:pPr>
      <w:r>
        <w:drawing>
          <wp:inline xmlns:a="http://schemas.openxmlformats.org/drawingml/2006/main" xmlns:pic="http://schemas.openxmlformats.org/drawingml/2006/picture">
            <wp:extent cx="5715000" cy="3283310"/>
            <wp:docPr id="2" name="Picture 2" descr="Treatment outperforms control in every cohort, even as overall conversion declines." title="Treatment outperforms control in every cohort, even as overall conversion decline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kt-cohor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833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Calibri" w:hAnsi="Calibri" w:eastAsia="Calibri"/>
          <w:i/>
          <w:color w:val="64748B"/>
          <w:sz w:val="18"/>
        </w:rPr>
        <w:t>Treatment outperforms control in every cohort, even as overall conversion declines.</w:t>
      </w:r>
    </w:p>
    <w:p>
      <w:pPr>
        <w:spacing w:before="80" w:after="80"/>
        <w:jc w:val="center"/>
      </w:pPr>
      <w:r>
        <w:rPr>
          <w:rFonts w:ascii="Calibri" w:hAnsi="Calibri" w:eastAsia="Calibri"/>
          <w:color w:val="64748B"/>
          <w:sz w:val="16"/>
        </w:rPr>
        <w:t>Source evidence: data/aggregated/cohort_summary.csv</w:t>
      </w:r>
    </w:p>
    <w:p>
      <w:pPr>
        <w:pStyle w:val="Heading2"/>
      </w:pPr>
      <w:r>
        <w:t>3. The assignment audit narrows the confidence claim</w:t>
      </w:r>
    </w:p>
    <w:p>
      <w:r>
        <w:rPr>
          <w:rFonts w:ascii="Calibri" w:hAnsi="Calibri" w:eastAsia="Calibri"/>
          <w:color w:val="16324A"/>
        </w:rPr>
        <w:t>Users can switch groups across months. Reporting unique-user, user-cohort, and session views side by side shows that the positive direction survives, but the headline magnitude is sensitive to the true randomization unit.</w:t>
      </w:r>
    </w:p>
    <w:p>
      <w:pPr>
        <w:spacing w:before="80" w:after="80"/>
      </w:pPr>
      <w:r>
        <w:rPr>
          <w:rFonts w:ascii="Calibri" w:hAnsi="Calibri" w:eastAsia="Calibri"/>
          <w:i/>
          <w:color w:val="64748B"/>
          <w:sz w:val="17"/>
        </w:rPr>
        <w:t>Evidence trail: data/aggregated/sensitivity_summary.csv</w:t>
      </w:r>
    </w:p>
    <w:p>
      <w:pPr>
        <w:keepNext/>
        <w:spacing w:before="200" w:after="0"/>
        <w:jc w:val="center"/>
      </w:pPr>
      <w:r>
        <w:drawing>
          <wp:inline xmlns:a="http://schemas.openxmlformats.org/drawingml/2006/main" xmlns:pic="http://schemas.openxmlformats.org/drawingml/2006/picture">
            <wp:extent cx="5715000" cy="2528364"/>
            <wp:docPr id="3" name="Picture 3" descr="Cleaning and identity-overlap checks materially shape the interpretation." title="Cleaning and identity-overlap checks materially shape the interpretatio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kt-audi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528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Calibri" w:hAnsi="Calibri" w:eastAsia="Calibri"/>
          <w:i/>
          <w:color w:val="64748B"/>
          <w:sz w:val="18"/>
        </w:rPr>
        <w:t>Cleaning and identity-overlap checks materially shape the interpretation.</w:t>
      </w:r>
    </w:p>
    <w:p>
      <w:pPr>
        <w:spacing w:before="80" w:after="80"/>
        <w:jc w:val="center"/>
      </w:pPr>
      <w:r>
        <w:rPr>
          <w:rFonts w:ascii="Calibri" w:hAnsi="Calibri" w:eastAsia="Calibri"/>
          <w:color w:val="64748B"/>
          <w:sz w:val="16"/>
        </w:rPr>
        <w:t>Source evidence: data/aggregated/sensitivity_summary.csv</w:t>
      </w:r>
    </w:p>
    <w:p>
      <w:pPr>
        <w:pStyle w:val="Heading2"/>
      </w:pPr>
      <w:r>
        <w:t>4. Desktop is a hypothesis, not a targeting rule</w:t>
      </w:r>
    </w:p>
    <w:p>
      <w:r>
        <w:rPr>
          <w:rFonts w:ascii="Calibri" w:hAnsi="Calibri" w:eastAsia="Calibri"/>
          <w:color w:val="16324A"/>
        </w:rPr>
        <w:t>Desktop shows 29.1% descriptive uplift, but segment comparisons are exploratory and unadjusted for multiple testing. The result should define a follow-up experiment rather than a device rollout policy.</w:t>
      </w:r>
    </w:p>
    <w:p>
      <w:pPr>
        <w:spacing w:before="80" w:after="80"/>
      </w:pPr>
      <w:r>
        <w:rPr>
          <w:rFonts w:ascii="Calibri" w:hAnsi="Calibri" w:eastAsia="Calibri"/>
          <w:i/>
          <w:color w:val="64748B"/>
          <w:sz w:val="17"/>
        </w:rPr>
        <w:t>Evidence trail: data/aggregated/device_summary.csv</w:t>
      </w:r>
    </w:p>
    <w:p>
      <w:pPr>
        <w:pStyle w:val="Heading1"/>
      </w:pPr>
      <w:r>
        <w:t>Recommended decision and operating plan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80" w:type="dxa"/>
              <w:start w:w="120" w:type="dxa"/>
              <w:bottom w:w="180" w:type="dxa"/>
              <w:end w:w="120" w:type="dxa"/>
            </w:tcMar>
            <w:shd w:fill="EAF8F5"/>
          </w:tcPr>
          <w:p>
            <w:pPr>
              <w:spacing w:after="100"/>
            </w:pPr>
            <w:r>
              <w:rPr>
                <w:rFonts w:ascii="Calibri" w:hAnsi="Calibri" w:eastAsia="Calibri"/>
                <w:b/>
                <w:color w:val="0E8F78"/>
                <w:sz w:val="17"/>
              </w:rPr>
              <w:t>RECOMMENDATION</w:t>
            </w:r>
          </w:p>
          <w:p>
            <w:pPr>
              <w:spacing w:after="0" w:line="300" w:lineRule="auto"/>
            </w:pPr>
            <w:r>
              <w:rPr>
                <w:rFonts w:ascii="Calibri" w:hAnsi="Calibri" w:eastAsia="Calibri"/>
                <w:b/>
                <w:color w:val="0B2545"/>
                <w:sz w:val="25"/>
              </w:rPr>
              <w:t>Treat the result as positive evidence, then confirm the randomization unit before rollout sizing.</w:t>
            </w:r>
          </w:p>
        </w:tc>
      </w:tr>
    </w:tbl>
    <w:p>
      <w:pPr>
        <w:numPr>
          <w:ilvl w:val="0"/>
          <w:numId w:val="10"/>
        </w:numPr>
        <w:jc w:val="left"/>
      </w:pPr>
      <w:r>
        <w:rPr>
          <w:rFonts w:ascii="Calibri" w:hAnsi="Calibri" w:eastAsia="Calibri"/>
          <w:color w:val="16324A"/>
        </w:rPr>
        <w:t>Confirm whether assignment was made by user, user-cohort, session, or event before using the estimate for rollout sizing.</w:t>
      </w:r>
    </w:p>
    <w:p>
      <w:pPr>
        <w:numPr>
          <w:ilvl w:val="0"/>
          <w:numId w:val="10"/>
        </w:numPr>
        <w:jc w:val="left"/>
      </w:pPr>
      <w:r>
        <w:rPr>
          <w:rFonts w:ascii="Calibri" w:hAnsi="Calibri" w:eastAsia="Calibri"/>
          <w:color w:val="16324A"/>
        </w:rPr>
        <w:t>Investigate the conversion decline across cohorts and separate product/traffic mix from experiment effects.</w:t>
      </w:r>
    </w:p>
    <w:p>
      <w:pPr>
        <w:numPr>
          <w:ilvl w:val="0"/>
          <w:numId w:val="10"/>
        </w:numPr>
        <w:jc w:val="left"/>
      </w:pPr>
      <w:r>
        <w:rPr>
          <w:rFonts w:ascii="Calibri" w:hAnsi="Calibri" w:eastAsia="Calibri"/>
          <w:color w:val="16324A"/>
        </w:rPr>
        <w:t>Run a preregistered device follow-up test if Desktop remains commercially important.</w:t>
      </w:r>
    </w:p>
    <w:p>
      <w:pPr>
        <w:numPr>
          <w:ilvl w:val="0"/>
          <w:numId w:val="10"/>
        </w:numPr>
        <w:jc w:val="left"/>
      </w:pPr>
      <w:r>
        <w:rPr>
          <w:rFonts w:ascii="Calibri" w:hAnsi="Calibri" w:eastAsia="Calibri"/>
          <w:color w:val="16324A"/>
        </w:rPr>
        <w:t>Label the $239,887 estimate as illustrative conversion value, not verified Rokt revenue, profit, or causal financial impact.</w:t>
      </w:r>
    </w:p>
    <w:p>
      <w:pPr>
        <w:pStyle w:val="Heading1"/>
      </w:pPr>
      <w:r>
        <w:t>Why the evidence is trustworthy</w:t>
      </w:r>
    </w:p>
    <w:p>
      <w:r>
        <w:rPr>
          <w:rFonts w:ascii="Calibri" w:hAnsi="Calibri" w:eastAsia="Calibri"/>
          <w:color w:val="16324A"/>
        </w:rPr>
        <w:t>The technical design is summarized here only where it changes confidence in the business answer. The repository contains the complete code, notebooks, output tables, and implementation notes.</w:t>
      </w:r>
    </w:p>
    <w:p>
      <w:pPr>
        <w:numPr>
          <w:ilvl w:val="0"/>
          <w:numId w:val="10"/>
        </w:numPr>
        <w:jc w:val="left"/>
      </w:pPr>
      <w:r>
        <w:rPr>
          <w:rFonts w:ascii="Calibri" w:hAnsi="Calibri" w:eastAsia="Calibri"/>
          <w:color w:val="16324A"/>
        </w:rPr>
        <w:t>Removed one invalid cohort row and 36,893 exact duplicate records before additive metrics.</w:t>
      </w:r>
    </w:p>
    <w:p>
      <w:pPr>
        <w:numPr>
          <w:ilvl w:val="0"/>
          <w:numId w:val="10"/>
        </w:numPr>
        <w:jc w:val="left"/>
      </w:pPr>
      <w:r>
        <w:rPr>
          <w:rFonts w:ascii="Calibri" w:hAnsi="Calibri" w:eastAsia="Calibri"/>
          <w:color w:val="16324A"/>
        </w:rPr>
        <w:t>Normalized missing device and gender categories and audited cross-group identity overlap.</w:t>
      </w:r>
    </w:p>
    <w:p>
      <w:pPr>
        <w:numPr>
          <w:ilvl w:val="0"/>
          <w:numId w:val="10"/>
        </w:numPr>
        <w:jc w:val="left"/>
      </w:pPr>
      <w:r>
        <w:rPr>
          <w:rFonts w:ascii="Calibri" w:hAnsi="Calibri" w:eastAsia="Calibri"/>
          <w:color w:val="16324A"/>
        </w:rPr>
        <w:t>Two-sided pooled two-proportion z-test with 95% confidence intervals for absolute lift and risk ratio.</w:t>
      </w:r>
    </w:p>
    <w:p>
      <w:pPr>
        <w:numPr>
          <w:ilvl w:val="0"/>
          <w:numId w:val="10"/>
        </w:numPr>
        <w:jc w:val="left"/>
      </w:pPr>
      <w:r>
        <w:rPr>
          <w:rFonts w:ascii="Calibri" w:hAnsi="Calibri" w:eastAsia="Calibri"/>
          <w:color w:val="16324A"/>
        </w:rPr>
        <w:t>Primary brief-defined KPI reported alongside user-cohort and session sensitivity analyses.</w:t>
      </w:r>
    </w:p>
    <w:p>
      <w:pPr>
        <w:numPr>
          <w:ilvl w:val="0"/>
          <w:numId w:val="10"/>
        </w:numPr>
        <w:jc w:val="left"/>
      </w:pPr>
      <w:r>
        <w:rPr>
          <w:rFonts w:ascii="Calibri" w:hAnsi="Calibri" w:eastAsia="Calibri"/>
          <w:color w:val="16324A"/>
        </w:rPr>
        <w:t>Public portfolio outputs contain aggregate data only; raw identifiers are excluded.</w:t>
      </w:r>
    </w:p>
    <w:p>
      <w:pPr>
        <w:pStyle w:val="Heading1"/>
      </w:pPr>
      <w:r>
        <w:t>What this case does not prove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80" w:type="dxa"/>
              <w:start w:w="120" w:type="dxa"/>
              <w:bottom w:w="180" w:type="dxa"/>
              <w:end w:w="120" w:type="dxa"/>
            </w:tcMar>
            <w:shd w:fill="FFF7ED"/>
          </w:tcPr>
          <w:p>
            <w:pPr>
              <w:spacing w:after="100"/>
            </w:pPr>
            <w:r>
              <w:rPr>
                <w:rFonts w:ascii="Calibri" w:hAnsi="Calibri" w:eastAsia="Calibri"/>
                <w:b/>
                <w:color w:val="F47C48"/>
                <w:sz w:val="17"/>
              </w:rPr>
              <w:t>EVIDENCE BOUNDARY</w:t>
            </w:r>
          </w:p>
          <w:p>
            <w:pPr>
              <w:spacing w:after="0" w:line="300" w:lineRule="auto"/>
            </w:pPr>
            <w:r>
              <w:rPr>
                <w:rFonts w:ascii="Calibri" w:hAnsi="Calibri" w:eastAsia="Calibri"/>
                <w:b/>
                <w:color w:val="0B2545"/>
                <w:sz w:val="25"/>
              </w:rPr>
              <w:t>A strong portfolio case separates a useful decision signal from claims the available data cannot support.</w:t>
            </w:r>
          </w:p>
        </w:tc>
      </w:tr>
    </w:tbl>
    <w:p>
      <w:pPr>
        <w:numPr>
          <w:ilvl w:val="0"/>
          <w:numId w:val="10"/>
        </w:numPr>
        <w:jc w:val="left"/>
      </w:pPr>
      <w:r>
        <w:rPr>
          <w:rFonts w:ascii="Calibri" w:hAnsi="Calibri" w:eastAsia="Calibri"/>
          <w:color w:val="16324A"/>
        </w:rPr>
        <w:t>The randomization unit is not explicit, and repeated users create cross-month dependence.</w:t>
      </w:r>
    </w:p>
    <w:p>
      <w:pPr>
        <w:numPr>
          <w:ilvl w:val="0"/>
          <w:numId w:val="10"/>
        </w:numPr>
        <w:jc w:val="left"/>
      </w:pPr>
      <w:r>
        <w:rPr>
          <w:rFonts w:ascii="Calibri" w:hAnsi="Calibri" w:eastAsia="Calibri"/>
          <w:color w:val="16324A"/>
        </w:rPr>
        <w:t>Segment findings are exploratory and not adjusted for multiple comparisons.</w:t>
      </w:r>
    </w:p>
    <w:p>
      <w:pPr>
        <w:numPr>
          <w:ilvl w:val="0"/>
          <w:numId w:val="10"/>
        </w:numPr>
        <w:jc w:val="left"/>
      </w:pPr>
      <w:r>
        <w:rPr>
          <w:rFonts w:ascii="Calibri" w:hAnsi="Calibri" w:eastAsia="Calibri"/>
          <w:color w:val="16324A"/>
        </w:rPr>
        <w:t>The equal-average-value counterfactual does not establish revenue or profit impact.</w:t>
      </w:r>
    </w:p>
    <w:p>
      <w:pPr>
        <w:pStyle w:val="Heading1"/>
      </w:pPr>
      <w:r>
        <w:t>Evidence trail</w:t>
      </w:r>
    </w:p>
    <w:p>
      <w:r>
        <w:t xml:space="preserve">Repository: </w:t>
      </w:r>
      <w:hyperlink r:id="rId14">
        <w:r>
          <w:rPr>
            <w:rFonts w:ascii="Calibri" w:hAnsi="Calibri"/>
            <w:color w:val="1268D5"/>
            <w:u w:val="single"/>
          </w:rPr>
          <w:t>Open the GitHub repository</w:t>
        </w:r>
      </w:hyperlink>
    </w:p>
    <w:p>
      <w:r>
        <w:rPr>
          <w:rFonts w:ascii="Calibri" w:hAnsi="Calibri" w:eastAsia="Calibri"/>
          <w:color w:val="16324A"/>
        </w:rPr>
        <w:t>Portfolio note: this document uses stakeholder-ready summaries and selected aggregate visuals. Technical implementation remains in the linked repository so a reviewer can audit the complete analytical chain.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9360"/>
      <w:jc w:val="left"/>
      <w:tblLayout w:type="fixed"/>
      <w:tblLook w:firstColumn="1" w:firstRow="1" w:lastColumn="0" w:lastRow="0" w:noHBand="0" w:noVBand="1" w:val="04A0"/>
      <w:tblInd w:w="0" w:type="dxa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680"/>
      <w:gridCol w:w="4680"/>
    </w:tblGrid>
    <w:tr>
      <w:trPr>
        <w:tblHeader w:val="true"/>
      </w:trPr>
      <w:tc>
        <w:tcPr>
          <w:tcW w:type="dxa" w:w="4680"/>
          <w:tcMar>
            <w:top w:w="80" w:type="dxa"/>
            <w:start w:w="120" w:type="dxa"/>
            <w:bottom w:w="80" w:type="dxa"/>
            <w:end w:w="120" w:type="dxa"/>
          </w:tcMar>
        </w:tcPr>
        <w:p>
          <w:pPr>
            <w:spacing w:after="0"/>
            <w:jc w:val="left"/>
          </w:pPr>
          <w:r>
            <w:rPr>
              <w:rFonts w:ascii="Calibri" w:hAnsi="Calibri" w:eastAsia="Calibri"/>
              <w:color w:val="64748B"/>
              <w:sz w:val="16"/>
            </w:rPr>
            <w:t>Phan Hoai Thu  |  Data &amp; BI Portfolio</w:t>
          </w:r>
        </w:p>
      </w:tc>
      <w:tc>
        <w:tcPr>
          <w:tcW w:type="dxa" w:w="4680"/>
          <w:tcMar>
            <w:top w:w="80" w:type="dxa"/>
            <w:start w:w="120" w:type="dxa"/>
            <w:bottom w:w="80" w:type="dxa"/>
            <w:end w:w="120" w:type="dxa"/>
          </w:tcMar>
        </w:tcPr>
        <w:p>
          <w:pPr>
            <w:spacing w:after="0"/>
            <w:jc w:val="right"/>
          </w:pPr>
          <w:r>
            <w:rPr>
              <w:rFonts w:ascii="Calibri" w:hAnsi="Calibri" w:eastAsia="Calibri"/>
              <w:color w:val="64748B"/>
              <w:sz w:val="16"/>
            </w:rPr>
            <w:t xml:space="preserve">Page </w:t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64748B"/>
        <w:sz w:val="17"/>
      </w:rPr>
      <w:t>PORTFOLIO CASE STUDY  |  Rokt Holdout Experiment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9"/>
        <w:spacing w:before="0" w:after="80" w:line="290" w:lineRule="auto"/>
      </w:pPr>
      <w:rPr>
        <w:rFonts w:ascii="Calibri" w:hAnsi="Calibri"/>
        <w:sz w:val="22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320" w:lineRule="auto"/>
      <w:jc w:val="both"/>
    </w:pPr>
    <w:rPr>
      <w:rFonts w:ascii="Calibri" w:hAnsi="Calibri" w:eastAsia="Calibri"/>
      <w:b w:val="0"/>
      <w:color w:val="16324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2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268D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32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268D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 w:line="29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0B254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spacing w:line="280" w:lineRule="auto" w:before="80" w:after="80"/>
      <w:jc w:val="center"/>
    </w:pPr>
    <w:rPr>
      <w:rFonts w:ascii="Calibri" w:hAnsi="Calibri" w:eastAsia="Calibri"/>
      <w:b w:val="0"/>
      <w:bCs/>
      <w:color w:val="64748B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github.com/kath-pahotu/au_ro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